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2B79B" w14:textId="77777777" w:rsidR="007170D9" w:rsidRDefault="007170D9" w:rsidP="00C53895">
      <w:pPr>
        <w:pStyle w:val="Heading1"/>
        <w:spacing w:before="480"/>
      </w:pPr>
      <w:r w:rsidRPr="007170D9">
        <w:t>KAPITALPlaceringspolicy</w:t>
      </w:r>
    </w:p>
    <w:p w14:paraId="6F9A8674" w14:textId="77777777" w:rsidR="007170D9" w:rsidRPr="0018630D" w:rsidRDefault="007170D9" w:rsidP="007170D9">
      <w:pPr>
        <w:pBdr>
          <w:top w:val="single" w:sz="4" w:space="1" w:color="auto"/>
        </w:pBdr>
        <w:spacing w:before="40" w:after="40" w:line="240" w:lineRule="auto"/>
        <w:rPr>
          <w:sz w:val="18"/>
        </w:rPr>
      </w:pPr>
      <w:r w:rsidRPr="007170D9">
        <w:rPr>
          <w:i/>
          <w:sz w:val="18"/>
        </w:rPr>
        <w:t>Dokumenttyp:</w:t>
      </w:r>
      <w:r w:rsidRPr="007170D9">
        <w:rPr>
          <w:i/>
          <w:sz w:val="18"/>
        </w:rPr>
        <w:tab/>
      </w:r>
      <w:r w:rsidRPr="0018630D">
        <w:rPr>
          <w:sz w:val="18"/>
        </w:rPr>
        <w:tab/>
      </w:r>
      <w:r w:rsidRPr="0018630D">
        <w:rPr>
          <w:sz w:val="18"/>
        </w:rPr>
        <w:t>Policy</w:t>
      </w:r>
    </w:p>
    <w:p w14:paraId="1625057B" w14:textId="2BF9D3E1" w:rsidR="007170D9" w:rsidRPr="0018630D" w:rsidRDefault="007170D9" w:rsidP="007170D9">
      <w:pPr>
        <w:spacing w:before="40" w:after="40" w:line="240" w:lineRule="auto"/>
        <w:rPr>
          <w:sz w:val="18"/>
        </w:rPr>
      </w:pPr>
      <w:r w:rsidRPr="007170D9">
        <w:rPr>
          <w:i/>
          <w:sz w:val="18"/>
        </w:rPr>
        <w:t>Beslutad av:</w:t>
      </w:r>
      <w:r w:rsidR="00D61D65">
        <w:rPr>
          <w:sz w:val="18"/>
        </w:rPr>
        <w:tab/>
      </w:r>
      <w:r w:rsidR="00D61D65">
        <w:rPr>
          <w:sz w:val="18"/>
        </w:rPr>
        <w:tab/>
      </w:r>
      <w:r w:rsidR="00D61D65">
        <w:rPr>
          <w:sz w:val="18"/>
        </w:rPr>
        <w:t>Styrelsen 2017-12-13</w:t>
      </w:r>
    </w:p>
    <w:p w14:paraId="2550048B" w14:textId="77777777" w:rsidR="007170D9" w:rsidRPr="0018630D" w:rsidRDefault="007170D9" w:rsidP="007170D9">
      <w:pPr>
        <w:spacing w:before="40" w:after="40" w:line="240" w:lineRule="auto"/>
        <w:rPr>
          <w:sz w:val="18"/>
        </w:rPr>
      </w:pPr>
      <w:r w:rsidRPr="007170D9">
        <w:rPr>
          <w:i/>
          <w:sz w:val="18"/>
        </w:rPr>
        <w:t>Dokumentansvarig:</w:t>
      </w:r>
      <w:r w:rsidRPr="0018630D">
        <w:rPr>
          <w:sz w:val="18"/>
        </w:rPr>
        <w:tab/>
      </w:r>
      <w:r>
        <w:rPr>
          <w:sz w:val="18"/>
        </w:rPr>
        <w:t>Generalsekreterare</w:t>
      </w:r>
    </w:p>
    <w:p w14:paraId="09CB1F91" w14:textId="0C750B10" w:rsidR="007170D9" w:rsidRPr="0018630D" w:rsidRDefault="007170D9" w:rsidP="003E4B56">
      <w:pPr>
        <w:tabs>
          <w:tab w:val="left" w:pos="1304"/>
          <w:tab w:val="left" w:pos="2608"/>
          <w:tab w:val="left" w:pos="3852"/>
        </w:tabs>
        <w:spacing w:before="40" w:after="40" w:line="240" w:lineRule="auto"/>
        <w:rPr>
          <w:sz w:val="18"/>
        </w:rPr>
      </w:pPr>
      <w:r w:rsidRPr="007170D9">
        <w:rPr>
          <w:i/>
          <w:sz w:val="18"/>
        </w:rPr>
        <w:t>Senast reviderad:</w:t>
      </w: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>2017</w:t>
      </w:r>
      <w:r w:rsidRPr="0018630D">
        <w:rPr>
          <w:sz w:val="18"/>
        </w:rPr>
        <w:t>-</w:t>
      </w:r>
      <w:r w:rsidR="00D61D65">
        <w:rPr>
          <w:sz w:val="18"/>
        </w:rPr>
        <w:t>12-13</w:t>
      </w:r>
      <w:r w:rsidR="003E4B56">
        <w:rPr>
          <w:sz w:val="18"/>
        </w:rPr>
        <w:tab/>
      </w:r>
    </w:p>
    <w:p w14:paraId="0BFF9178" w14:textId="5241F886" w:rsidR="00692A83" w:rsidRPr="007170D9" w:rsidRDefault="007170D9" w:rsidP="007170D9">
      <w:pPr>
        <w:pBdr>
          <w:bottom w:val="single" w:sz="4" w:space="1" w:color="auto"/>
        </w:pBdr>
        <w:spacing w:before="40" w:line="240" w:lineRule="auto"/>
        <w:rPr>
          <w:sz w:val="18"/>
        </w:rPr>
      </w:pPr>
      <w:r w:rsidRPr="007170D9">
        <w:rPr>
          <w:i/>
          <w:sz w:val="18"/>
        </w:rPr>
        <w:t>Senast granskad:</w:t>
      </w:r>
      <w:r>
        <w:rPr>
          <w:sz w:val="18"/>
        </w:rPr>
        <w:tab/>
      </w:r>
      <w:r>
        <w:rPr>
          <w:sz w:val="18"/>
        </w:rPr>
        <w:t>201</w:t>
      </w:r>
      <w:r w:rsidR="00CE6905">
        <w:rPr>
          <w:sz w:val="18"/>
        </w:rPr>
        <w:t>9</w:t>
      </w:r>
      <w:r w:rsidRPr="0018630D">
        <w:rPr>
          <w:sz w:val="18"/>
        </w:rPr>
        <w:t>-</w:t>
      </w:r>
      <w:r w:rsidR="00CE6905">
        <w:rPr>
          <w:sz w:val="18"/>
        </w:rPr>
        <w:t>02</w:t>
      </w:r>
      <w:r w:rsidR="00D61D65">
        <w:rPr>
          <w:sz w:val="18"/>
        </w:rPr>
        <w:t>-</w:t>
      </w:r>
      <w:r w:rsidR="00CE6905">
        <w:rPr>
          <w:sz w:val="18"/>
        </w:rPr>
        <w:t>08</w:t>
      </w:r>
    </w:p>
    <w:p w14:paraId="661B9850" w14:textId="3EABFC8D" w:rsidR="00643389" w:rsidRPr="007170D9" w:rsidRDefault="00ED6125" w:rsidP="007170D9">
      <w:r w:rsidRPr="007170D9">
        <w:t xml:space="preserve">Palmecentrets </w:t>
      </w:r>
      <w:r w:rsidR="00250732">
        <w:t>kapital</w:t>
      </w:r>
      <w:r w:rsidRPr="007170D9">
        <w:t>p</w:t>
      </w:r>
      <w:r w:rsidR="007B2EEA" w:rsidRPr="007170D9">
        <w:t xml:space="preserve">laceringspolicy </w:t>
      </w:r>
      <w:r w:rsidR="00B664DF" w:rsidRPr="007170D9">
        <w:t>anger</w:t>
      </w:r>
      <w:r w:rsidR="00F24D0C" w:rsidRPr="007170D9">
        <w:t xml:space="preserve"> övergripande</w:t>
      </w:r>
      <w:r w:rsidR="00055160" w:rsidRPr="007170D9">
        <w:t xml:space="preserve"> riktlinjer för Plac</w:t>
      </w:r>
      <w:r w:rsidR="00074BFB" w:rsidRPr="007170D9">
        <w:t>erings-</w:t>
      </w:r>
      <w:r w:rsidR="00F24D0C" w:rsidRPr="007170D9">
        <w:t xml:space="preserve"> och </w:t>
      </w:r>
      <w:r w:rsidR="00486C7B" w:rsidRPr="007170D9">
        <w:t>e</w:t>
      </w:r>
      <w:r w:rsidR="00471405" w:rsidRPr="007170D9">
        <w:t>tikkommitténs i</w:t>
      </w:r>
      <w:r w:rsidR="00B664DF" w:rsidRPr="007170D9">
        <w:t xml:space="preserve"> deras</w:t>
      </w:r>
      <w:r w:rsidR="00F24D0C" w:rsidRPr="007170D9">
        <w:t xml:space="preserve"> arbete med att placera de medel som utgör Solidaritetsfonden kapital och Palmecentrets kapital. I de fall omständigheterna skulle vara sådana att dessa riktlinjer inte är ändamålsenliga kan ledamot i kommittén eller ledningsperson i Palmecentret </w:t>
      </w:r>
      <w:r w:rsidR="002D0BB4" w:rsidRPr="007170D9">
        <w:t>begära</w:t>
      </w:r>
      <w:r w:rsidR="00F24D0C" w:rsidRPr="007170D9">
        <w:t xml:space="preserve"> att styrelsen medger </w:t>
      </w:r>
      <w:r w:rsidR="002D0BB4" w:rsidRPr="007170D9">
        <w:t>undantag</w:t>
      </w:r>
      <w:r w:rsidR="00F24D0C" w:rsidRPr="007170D9">
        <w:t xml:space="preserve"> från </w:t>
      </w:r>
      <w:r w:rsidR="002D0BB4" w:rsidRPr="007170D9">
        <w:t>denna poli</w:t>
      </w:r>
      <w:bookmarkStart w:id="0" w:name="_GoBack"/>
      <w:bookmarkEnd w:id="0"/>
      <w:r w:rsidR="002D0BB4" w:rsidRPr="007170D9">
        <w:t>cy under löpande år.</w:t>
      </w:r>
    </w:p>
    <w:p w14:paraId="56CCB135" w14:textId="5901ACE2" w:rsidR="00643389" w:rsidRPr="00154045" w:rsidRDefault="00643389" w:rsidP="00C53895">
      <w:pPr>
        <w:pStyle w:val="Heading2"/>
      </w:pPr>
      <w:r w:rsidRPr="00154045">
        <w:t>Beslutsbehörighet</w:t>
      </w:r>
      <w:r w:rsidR="008E6837" w:rsidRPr="00154045">
        <w:t xml:space="preserve"> </w:t>
      </w:r>
      <w:r w:rsidR="008E6837" w:rsidRPr="00C53895">
        <w:t>för</w:t>
      </w:r>
      <w:r w:rsidR="008E6837" w:rsidRPr="00154045">
        <w:t xml:space="preserve"> </w:t>
      </w:r>
      <w:r w:rsidR="008E6837" w:rsidRPr="007170D9">
        <w:t>placeringar</w:t>
      </w:r>
    </w:p>
    <w:p w14:paraId="6B5C8C41" w14:textId="6B68305F" w:rsidR="001A4D0D" w:rsidRPr="00154045" w:rsidRDefault="00794C8B" w:rsidP="007170D9">
      <w:r w:rsidRPr="00154045">
        <w:t>Plac</w:t>
      </w:r>
      <w:r w:rsidR="00074BFB" w:rsidRPr="00154045">
        <w:t>erings- och etikkommittén</w:t>
      </w:r>
      <w:r w:rsidR="001A4D0D" w:rsidRPr="00154045">
        <w:t xml:space="preserve"> </w:t>
      </w:r>
      <w:r w:rsidR="0017628A" w:rsidRPr="00154045">
        <w:t xml:space="preserve">har på uppdrag av </w:t>
      </w:r>
      <w:r w:rsidR="001A4D0D" w:rsidRPr="00154045">
        <w:t>Palmecentrets representantskap</w:t>
      </w:r>
      <w:r w:rsidR="00055160" w:rsidRPr="00154045">
        <w:t xml:space="preserve"> ansvar för att förvalta S</w:t>
      </w:r>
      <w:r w:rsidR="0017628A" w:rsidRPr="00154045">
        <w:t>olidaritetsfondens</w:t>
      </w:r>
      <w:r w:rsidR="00055160" w:rsidRPr="00154045">
        <w:t xml:space="preserve"> och Palmecentrets</w:t>
      </w:r>
      <w:r w:rsidR="00074BFB" w:rsidRPr="00154045">
        <w:t xml:space="preserve"> kapital. K</w:t>
      </w:r>
      <w:r w:rsidR="001A4D0D" w:rsidRPr="00154045">
        <w:t xml:space="preserve">ommittén består av </w:t>
      </w:r>
      <w:r w:rsidR="007170D9">
        <w:t>g</w:t>
      </w:r>
      <w:r w:rsidR="001A4D0D" w:rsidRPr="00154045">
        <w:t>eneralsekreterare</w:t>
      </w:r>
      <w:r w:rsidR="007170D9">
        <w:t>n</w:t>
      </w:r>
      <w:r w:rsidR="001A4D0D" w:rsidRPr="00154045">
        <w:t xml:space="preserve">, </w:t>
      </w:r>
      <w:r w:rsidR="00023A4C">
        <w:t>ekonomic</w:t>
      </w:r>
      <w:r w:rsidR="00023A4C" w:rsidRPr="00154045">
        <w:t xml:space="preserve">hef </w:t>
      </w:r>
      <w:r w:rsidR="00074BFB" w:rsidRPr="00154045">
        <w:t>samt fyra</w:t>
      </w:r>
      <w:r w:rsidR="001A4D0D" w:rsidRPr="00154045">
        <w:t xml:space="preserve"> externa rådgivare</w:t>
      </w:r>
      <w:r w:rsidR="007170D9">
        <w:t xml:space="preserve">; </w:t>
      </w:r>
      <w:r w:rsidR="00074BFB" w:rsidRPr="00154045">
        <w:t>två placeringsrådgivare och två etikrådgivare</w:t>
      </w:r>
      <w:r w:rsidR="001A4D0D" w:rsidRPr="00154045">
        <w:t>. Rådgivarna väljs årligen av representantskapsmötet.</w:t>
      </w:r>
      <w:r w:rsidRPr="00154045">
        <w:t xml:space="preserve"> Placerings</w:t>
      </w:r>
      <w:r w:rsidR="00074BFB" w:rsidRPr="00154045">
        <w:t>- och etik</w:t>
      </w:r>
      <w:r w:rsidRPr="00154045">
        <w:t>kommittén har normalt ett protokollfört möte per år.</w:t>
      </w:r>
    </w:p>
    <w:p w14:paraId="460D1EF9" w14:textId="71E45F86" w:rsidR="00ED6125" w:rsidRPr="00154045" w:rsidRDefault="00055160" w:rsidP="007170D9">
      <w:r w:rsidRPr="00154045">
        <w:t xml:space="preserve">Palmecentrets </w:t>
      </w:r>
      <w:r w:rsidR="007170D9">
        <w:t>g</w:t>
      </w:r>
      <w:r w:rsidR="0017628A" w:rsidRPr="00154045">
        <w:t>eneralsekretera</w:t>
      </w:r>
      <w:r w:rsidR="00643389" w:rsidRPr="00154045">
        <w:t xml:space="preserve">re och </w:t>
      </w:r>
      <w:r w:rsidR="00C3157D">
        <w:t xml:space="preserve">ekonomichef </w:t>
      </w:r>
      <w:r w:rsidR="001A4D0D" w:rsidRPr="00154045">
        <w:t xml:space="preserve">samt en av två </w:t>
      </w:r>
      <w:r w:rsidR="00074BFB" w:rsidRPr="00154045">
        <w:t>placeringsrådgivare</w:t>
      </w:r>
      <w:r w:rsidR="0017628A" w:rsidRPr="00154045">
        <w:t xml:space="preserve"> i förening</w:t>
      </w:r>
      <w:r w:rsidR="00643389" w:rsidRPr="00154045">
        <w:t xml:space="preserve"> har</w:t>
      </w:r>
      <w:r w:rsidR="0017628A" w:rsidRPr="00154045">
        <w:t xml:space="preserve"> behörighet att </w:t>
      </w:r>
      <w:r w:rsidR="00643389" w:rsidRPr="00154045">
        <w:t>besluta om inves</w:t>
      </w:r>
      <w:r w:rsidR="007A0A4C">
        <w:t xml:space="preserve">teringar i nya tillgångar, eller </w:t>
      </w:r>
      <w:r w:rsidR="00643389" w:rsidRPr="00154045">
        <w:t>ändringar i befintliga tillgångar.</w:t>
      </w:r>
      <w:r w:rsidR="001A4D0D" w:rsidRPr="00154045">
        <w:t xml:space="preserve"> Beslut fattas vid </w:t>
      </w:r>
      <w:r w:rsidR="00794C8B" w:rsidRPr="00154045">
        <w:t>kommitténs</w:t>
      </w:r>
      <w:r w:rsidR="001A4D0D" w:rsidRPr="00154045">
        <w:t xml:space="preserve"> möten eller löpande via telefon eller andra </w:t>
      </w:r>
      <w:r w:rsidR="00794C8B" w:rsidRPr="00154045">
        <w:t>kommunikationskanaler. Beslut utanför ordinarie möte protokollförs vid nästkommande möte.</w:t>
      </w:r>
    </w:p>
    <w:p w14:paraId="1602B844" w14:textId="596508CD" w:rsidR="0017628A" w:rsidRPr="00154045" w:rsidRDefault="0017628A" w:rsidP="00C53895">
      <w:pPr>
        <w:pStyle w:val="Heading2"/>
      </w:pPr>
      <w:r w:rsidRPr="00154045">
        <w:t>Allmänna riktlinjer för placeringar</w:t>
      </w:r>
    </w:p>
    <w:p w14:paraId="7BFDA0F1" w14:textId="59063CD0" w:rsidR="00F45CB1" w:rsidRPr="00154045" w:rsidRDefault="003B095B" w:rsidP="007170D9">
      <w:r w:rsidRPr="00154045">
        <w:t xml:space="preserve">I förvaltningen skall eftersträvas </w:t>
      </w:r>
      <w:r w:rsidR="00EA784B" w:rsidRPr="00154045">
        <w:t>god</w:t>
      </w:r>
      <w:r w:rsidRPr="00154045">
        <w:t xml:space="preserve"> avkastning men med hänsyn till följande etiska och riskbegränsande riktlinjer</w:t>
      </w:r>
      <w:r w:rsidR="00ED6125">
        <w:t>. D</w:t>
      </w:r>
      <w:r w:rsidR="00BF6E2C" w:rsidRPr="00154045">
        <w:t xml:space="preserve">et primära målet med nuvarande ränteläge </w:t>
      </w:r>
      <w:r w:rsidR="00C3157D">
        <w:t>är</w:t>
      </w:r>
      <w:r w:rsidR="00EA04E7">
        <w:rPr>
          <w:i/>
          <w:color w:val="C00000"/>
        </w:rPr>
        <w:t xml:space="preserve"> </w:t>
      </w:r>
      <w:r w:rsidR="00BF6E2C" w:rsidRPr="00154045">
        <w:t xml:space="preserve">en direktavkastning på 3,5 % av det förvaltade kapitalet vid året </w:t>
      </w:r>
      <w:r w:rsidR="009D6B7C" w:rsidRPr="00154045">
        <w:t>bö</w:t>
      </w:r>
      <w:r w:rsidR="00941024" w:rsidRPr="00154045">
        <w:t xml:space="preserve">rjan och </w:t>
      </w:r>
      <w:r w:rsidR="00D61D65">
        <w:t xml:space="preserve">är </w:t>
      </w:r>
      <w:r w:rsidR="00941024" w:rsidRPr="00154045">
        <w:t>en årlig totalavkastning</w:t>
      </w:r>
      <w:r w:rsidR="00B664DF" w:rsidRPr="00154045">
        <w:t xml:space="preserve"> </w:t>
      </w:r>
      <w:r w:rsidR="00941024" w:rsidRPr="00154045">
        <w:t>(inklusive värdeökning) på 5</w:t>
      </w:r>
      <w:r w:rsidR="00ED6125">
        <w:t xml:space="preserve"> % över tid</w:t>
      </w:r>
      <w:r w:rsidR="009D6B7C" w:rsidRPr="00154045">
        <w:t>.</w:t>
      </w:r>
    </w:p>
    <w:p w14:paraId="4C1440E6" w14:textId="74D70ACF" w:rsidR="009D6B7C" w:rsidRPr="00154045" w:rsidRDefault="00EA04E7" w:rsidP="007170D9">
      <w:r>
        <w:t xml:space="preserve">Palmecentrets och </w:t>
      </w:r>
      <w:r w:rsidRPr="00154045">
        <w:t xml:space="preserve">Solidaritetsfondens tillgångar </w:t>
      </w:r>
      <w:r w:rsidR="009D6B7C" w:rsidRPr="00154045">
        <w:t>placeras i något av följande alternativ</w:t>
      </w:r>
    </w:p>
    <w:p w14:paraId="400AA16E" w14:textId="77777777" w:rsidR="009D6B7C" w:rsidRPr="00154045" w:rsidRDefault="009D6B7C" w:rsidP="00F727ED">
      <w:pPr>
        <w:pStyle w:val="ListParagraph"/>
        <w:numPr>
          <w:ilvl w:val="0"/>
          <w:numId w:val="3"/>
        </w:numPr>
        <w:spacing w:after="120"/>
        <w:ind w:left="426" w:hanging="284"/>
        <w:contextualSpacing w:val="0"/>
      </w:pPr>
      <w:r w:rsidRPr="00154045">
        <w:t>Likvida medel (korta räntor)</w:t>
      </w:r>
    </w:p>
    <w:p w14:paraId="72DFC5AF" w14:textId="77777777" w:rsidR="009D6B7C" w:rsidRPr="00154045" w:rsidRDefault="009D6B7C" w:rsidP="00F727ED">
      <w:pPr>
        <w:pStyle w:val="ListParagraph"/>
        <w:numPr>
          <w:ilvl w:val="0"/>
          <w:numId w:val="3"/>
        </w:numPr>
        <w:spacing w:after="120"/>
        <w:ind w:left="426" w:hanging="284"/>
        <w:contextualSpacing w:val="0"/>
      </w:pPr>
      <w:r w:rsidRPr="00154045">
        <w:t>Obligationer (korta räntor)</w:t>
      </w:r>
    </w:p>
    <w:p w14:paraId="0DAFCAC8" w14:textId="77777777" w:rsidR="009D6B7C" w:rsidRPr="00154045" w:rsidRDefault="009D6B7C" w:rsidP="00F727ED">
      <w:pPr>
        <w:pStyle w:val="ListParagraph"/>
        <w:numPr>
          <w:ilvl w:val="0"/>
          <w:numId w:val="3"/>
        </w:numPr>
        <w:spacing w:after="120"/>
        <w:ind w:left="426" w:hanging="284"/>
        <w:contextualSpacing w:val="0"/>
      </w:pPr>
      <w:r w:rsidRPr="00154045">
        <w:t>Aktier</w:t>
      </w:r>
    </w:p>
    <w:p w14:paraId="74CA019A" w14:textId="0A9705B7" w:rsidR="0017628A" w:rsidRPr="00154045" w:rsidRDefault="00421EC1" w:rsidP="00F727ED">
      <w:pPr>
        <w:pStyle w:val="ListParagraph"/>
        <w:numPr>
          <w:ilvl w:val="0"/>
          <w:numId w:val="3"/>
        </w:numPr>
        <w:spacing w:after="120"/>
        <w:ind w:left="426" w:hanging="284"/>
        <w:contextualSpacing w:val="0"/>
      </w:pPr>
      <w:r w:rsidRPr="00154045">
        <w:t>Alternativa placeringar</w:t>
      </w:r>
      <w:r w:rsidR="009438E4" w:rsidRPr="00154045">
        <w:t xml:space="preserve"> </w:t>
      </w:r>
      <w:r w:rsidRPr="00154045">
        <w:t>såsom</w:t>
      </w:r>
      <w:r w:rsidR="009D6B7C" w:rsidRPr="00154045">
        <w:t xml:space="preserve"> </w:t>
      </w:r>
      <w:r w:rsidRPr="00154045">
        <w:t>ränte- och aktiefonder,</w:t>
      </w:r>
      <w:r w:rsidR="009D6B7C" w:rsidRPr="00154045">
        <w:t xml:space="preserve"> hedgefonder</w:t>
      </w:r>
      <w:r w:rsidRPr="00154045">
        <w:t xml:space="preserve"> m</w:t>
      </w:r>
      <w:r w:rsidR="009438E4" w:rsidRPr="00154045">
        <w:t>e</w:t>
      </w:r>
      <w:r w:rsidRPr="00154045">
        <w:t>d b</w:t>
      </w:r>
      <w:r w:rsidR="009438E4" w:rsidRPr="00154045">
        <w:t>e</w:t>
      </w:r>
      <w:r w:rsidRPr="00154045">
        <w:t>gränsad risk</w:t>
      </w:r>
    </w:p>
    <w:p w14:paraId="02E7AA9C" w14:textId="0DC9DFD4" w:rsidR="00EA784B" w:rsidRPr="00154045" w:rsidRDefault="003B095B" w:rsidP="00C53895">
      <w:pPr>
        <w:pStyle w:val="Heading2"/>
      </w:pPr>
      <w:r w:rsidRPr="00154045">
        <w:t>Riskbegränsande riktlinjer</w:t>
      </w:r>
      <w:r w:rsidR="00743566" w:rsidRPr="00154045">
        <w:t xml:space="preserve"> </w:t>
      </w:r>
    </w:p>
    <w:p w14:paraId="7686D8C1" w14:textId="11E8452C" w:rsidR="00EA784B" w:rsidRPr="00154045" w:rsidRDefault="007170D9" w:rsidP="007170D9">
      <w:r>
        <w:t xml:space="preserve">Palmecentrets och </w:t>
      </w:r>
      <w:r w:rsidRPr="00154045">
        <w:t xml:space="preserve">Solidaritetsfondens tillgångar </w:t>
      </w:r>
      <w:r w:rsidR="00EA784B" w:rsidRPr="00154045">
        <w:t>skall placeras på ett sådant sätt att risken är liten men avkastningen god.</w:t>
      </w:r>
    </w:p>
    <w:p w14:paraId="5989DA4A" w14:textId="0FA3D111" w:rsidR="00F02E55" w:rsidRPr="00154045" w:rsidRDefault="003B095B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>A</w:t>
      </w:r>
      <w:r w:rsidR="009B33B1" w:rsidRPr="00154045">
        <w:t>v fondens tillgångar får högst 1</w:t>
      </w:r>
      <w:r w:rsidRPr="00154045">
        <w:t xml:space="preserve">0 % vara direkt placerade i </w:t>
      </w:r>
      <w:r w:rsidR="00F17DC3" w:rsidRPr="00154045">
        <w:t>enskild aktie</w:t>
      </w:r>
      <w:r w:rsidR="00E6421C" w:rsidRPr="00154045">
        <w:t xml:space="preserve"> eller </w:t>
      </w:r>
      <w:r w:rsidR="00E17F3B" w:rsidRPr="00154045">
        <w:t>papper</w:t>
      </w:r>
      <w:r w:rsidR="00F17DC3" w:rsidRPr="00154045">
        <w:t xml:space="preserve"> relaterade till enskild aktie</w:t>
      </w:r>
      <w:r w:rsidRPr="00154045">
        <w:t>.</w:t>
      </w:r>
      <w:r w:rsidR="00BF6E2C" w:rsidRPr="00154045">
        <w:t xml:space="preserve"> Investering får endast ske i aktier som är noterade vid </w:t>
      </w:r>
      <w:r w:rsidR="00956923">
        <w:t>n</w:t>
      </w:r>
      <w:r w:rsidR="00F02E55" w:rsidRPr="00154045">
        <w:t>ordisk börs</w:t>
      </w:r>
      <w:r w:rsidR="00ED6125">
        <w:t>.</w:t>
      </w:r>
    </w:p>
    <w:p w14:paraId="39BFE3D8" w14:textId="5E069108" w:rsidR="00743566" w:rsidRPr="00154045" w:rsidRDefault="00F02E55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>Placering i företagsobliga</w:t>
      </w:r>
      <w:r w:rsidR="00C86106" w:rsidRPr="00154045">
        <w:t>tioner får endast ske i företag</w:t>
      </w:r>
      <w:r w:rsidRPr="00154045">
        <w:t xml:space="preserve"> som är noterade vid </w:t>
      </w:r>
      <w:r w:rsidR="00956923">
        <w:t>n</w:t>
      </w:r>
      <w:r w:rsidRPr="00154045">
        <w:t>ordisk börs</w:t>
      </w:r>
      <w:r w:rsidR="009438E4" w:rsidRPr="00154045">
        <w:t xml:space="preserve">. Undantag från detta får ske till för placeringar upp till ett sammanlagt värde om 3 Mkr i de fall särskild riskbedömning gjorts och risken bedöms som låg över tiden. </w:t>
      </w:r>
    </w:p>
    <w:p w14:paraId="005585D0" w14:textId="26C079BC" w:rsidR="007170D9" w:rsidRDefault="00BF6E2C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>Fonden skall ha en likviditet som gör att minst 5 Mkr skall vara tillgängliga för betalning inom 1 vecka.</w:t>
      </w:r>
    </w:p>
    <w:p w14:paraId="62D40D86" w14:textId="4CFD2061" w:rsidR="00743566" w:rsidRPr="00154045" w:rsidRDefault="003B095B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>Av fondens tillgångar får högst 2 Mkr</w:t>
      </w:r>
      <w:r w:rsidR="00B664DF" w:rsidRPr="00154045">
        <w:t xml:space="preserve"> </w:t>
      </w:r>
      <w:r w:rsidR="00BF6E2C" w:rsidRPr="00154045">
        <w:t>(värde vid placeringstillfälle)</w:t>
      </w:r>
      <w:r w:rsidRPr="00154045">
        <w:t xml:space="preserve"> vara placerade i </w:t>
      </w:r>
      <w:r w:rsidR="00743566" w:rsidRPr="00154045">
        <w:t>ett enskilt</w:t>
      </w:r>
      <w:r w:rsidRPr="00154045">
        <w:t xml:space="preserve"> bolags obligationer</w:t>
      </w:r>
      <w:r w:rsidR="00D96782" w:rsidRPr="00154045">
        <w:t>.</w:t>
      </w:r>
    </w:p>
    <w:p w14:paraId="35CF84F8" w14:textId="17EC4262" w:rsidR="00081B74" w:rsidRPr="00154045" w:rsidRDefault="00743566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 xml:space="preserve">Kapital kan placeras i förvaltade värdepappersfonder och hedgefonder vars placeringsinriktning överensstämmer </w:t>
      </w:r>
      <w:r w:rsidR="00081B74" w:rsidRPr="00154045">
        <w:t>med bestämmelserna i denna placeringspolicy</w:t>
      </w:r>
    </w:p>
    <w:p w14:paraId="55C684CF" w14:textId="6FA4F20A" w:rsidR="00081B74" w:rsidRPr="00154045" w:rsidRDefault="00081B74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 xml:space="preserve">Placeringar skall ske i värdepapper som har god likviditet, </w:t>
      </w:r>
      <w:r w:rsidR="009425E9" w:rsidRPr="00154045">
        <w:t>d.v.s.</w:t>
      </w:r>
      <w:r w:rsidRPr="00154045">
        <w:t xml:space="preserve"> kunna försäljas </w:t>
      </w:r>
      <w:r w:rsidR="002F2040" w:rsidRPr="00B92356">
        <w:t>normalt</w:t>
      </w:r>
      <w:r w:rsidR="002F2040">
        <w:t xml:space="preserve"> </w:t>
      </w:r>
      <w:r w:rsidR="00B92356">
        <w:t>inom</w:t>
      </w:r>
      <w:r w:rsidRPr="00154045">
        <w:t xml:space="preserve"> </w:t>
      </w:r>
      <w:r w:rsidR="00421EC1" w:rsidRPr="00154045">
        <w:t>en månad</w:t>
      </w:r>
      <w:r w:rsidR="00941024" w:rsidRPr="00154045">
        <w:t>.</w:t>
      </w:r>
    </w:p>
    <w:p w14:paraId="65244D5E" w14:textId="45B9E73F" w:rsidR="009425E9" w:rsidRPr="00154045" w:rsidRDefault="00081B74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>Investeringar i valuta eller i värdepapper som direkt bygger på valutaspekulation får inte göras.</w:t>
      </w:r>
    </w:p>
    <w:p w14:paraId="4E71EE5E" w14:textId="5383E87F" w:rsidR="00E17F3B" w:rsidRPr="00154045" w:rsidRDefault="00E17F3B" w:rsidP="007170D9">
      <w:pPr>
        <w:pStyle w:val="ListParagraph"/>
        <w:numPr>
          <w:ilvl w:val="0"/>
          <w:numId w:val="1"/>
        </w:numPr>
        <w:tabs>
          <w:tab w:val="left" w:pos="709"/>
        </w:tabs>
        <w:spacing w:after="80"/>
        <w:ind w:left="714" w:hanging="357"/>
        <w:contextualSpacing w:val="0"/>
        <w:jc w:val="left"/>
      </w:pPr>
      <w:r w:rsidRPr="00154045">
        <w:t xml:space="preserve">Värdepappersaffärer får </w:t>
      </w:r>
      <w:r w:rsidR="00942D0D" w:rsidRPr="00154045">
        <w:t>endast ske med svensk</w:t>
      </w:r>
      <w:r w:rsidRPr="00154045">
        <w:t xml:space="preserve"> motpart som uppfyller nedanstående kriterier:</w:t>
      </w:r>
    </w:p>
    <w:p w14:paraId="3B73F781" w14:textId="7F302AE0" w:rsidR="00E6421C" w:rsidRPr="00154045" w:rsidRDefault="00E17F3B" w:rsidP="007170D9">
      <w:pPr>
        <w:pStyle w:val="ListParagraph"/>
        <w:numPr>
          <w:ilvl w:val="0"/>
          <w:numId w:val="2"/>
        </w:numPr>
        <w:tabs>
          <w:tab w:val="left" w:pos="993"/>
        </w:tabs>
        <w:spacing w:after="80"/>
        <w:ind w:left="993" w:hanging="142"/>
        <w:contextualSpacing w:val="0"/>
        <w:jc w:val="left"/>
      </w:pPr>
      <w:r w:rsidRPr="00154045">
        <w:t xml:space="preserve">Svensk bank eller annan institution som står under Finansinspektionens tillsyn och som har tillstånd att bedriva handel med finansiella instrument för annans räkning i eget namn. </w:t>
      </w:r>
    </w:p>
    <w:p w14:paraId="55CAC6E8" w14:textId="5A8DF8DF" w:rsidR="0017628A" w:rsidRPr="00154045" w:rsidRDefault="00E17F3B" w:rsidP="007170D9">
      <w:pPr>
        <w:pStyle w:val="ListParagraph"/>
        <w:numPr>
          <w:ilvl w:val="0"/>
          <w:numId w:val="2"/>
        </w:numPr>
        <w:tabs>
          <w:tab w:val="left" w:pos="993"/>
        </w:tabs>
        <w:spacing w:after="80"/>
        <w:ind w:left="993" w:hanging="142"/>
        <w:contextualSpacing w:val="0"/>
        <w:jc w:val="left"/>
      </w:pPr>
      <w:r w:rsidRPr="00154045">
        <w:t xml:space="preserve">Bank eller institution i annat </w:t>
      </w:r>
      <w:r w:rsidR="00F147F2" w:rsidRPr="00154045">
        <w:t>nordiskt</w:t>
      </w:r>
      <w:r w:rsidRPr="00154045">
        <w:t xml:space="preserve"> land som har motsvarande tillstånd i det land det verkar och som står under tillsyn i det landets tillsynsmyndighet.</w:t>
      </w:r>
    </w:p>
    <w:p w14:paraId="4D88B714" w14:textId="140F875A" w:rsidR="0017628A" w:rsidRPr="00154045" w:rsidRDefault="0017628A" w:rsidP="00C53895">
      <w:pPr>
        <w:pStyle w:val="Heading2"/>
      </w:pPr>
      <w:r w:rsidRPr="00154045">
        <w:t>Etiska riktlinjer för placeringar</w:t>
      </w:r>
    </w:p>
    <w:p w14:paraId="20447220" w14:textId="7F102261" w:rsidR="00ED6125" w:rsidRPr="00154045" w:rsidRDefault="0017628A" w:rsidP="007170D9">
      <w:r w:rsidRPr="00154045">
        <w:t>Placeringar ska ske på ett etiskt försvarbart sätt som överensstämmer med de värderingar som kommer till uttryck i Pa</w:t>
      </w:r>
      <w:r w:rsidR="00074BFB" w:rsidRPr="00154045">
        <w:t>lmecentrets stadgar. K</w:t>
      </w:r>
      <w:r w:rsidRPr="00154045">
        <w:t xml:space="preserve">ommittén har mot bakgrund av detta fattat beslut om att placeringar skall göras i överensstämmelse med andan i </w:t>
      </w:r>
      <w:proofErr w:type="gramStart"/>
      <w:r w:rsidRPr="00154045">
        <w:t>LOs</w:t>
      </w:r>
      <w:proofErr w:type="gramEnd"/>
      <w:r w:rsidRPr="00154045">
        <w:t xml:space="preserve"> etiska riktlinjer för placeringar. </w:t>
      </w:r>
      <w:r w:rsidR="00074BFB" w:rsidRPr="00154045">
        <w:t xml:space="preserve">Vid </w:t>
      </w:r>
      <w:r w:rsidR="00074BFB" w:rsidRPr="00154045">
        <w:rPr>
          <w:szCs w:val="24"/>
        </w:rPr>
        <w:t>kommitténs</w:t>
      </w:r>
      <w:r w:rsidR="00074BFB" w:rsidRPr="00154045">
        <w:t xml:space="preserve"> möten ses samtliga placeringar över utifrån ett etiskt perspektiv.</w:t>
      </w:r>
    </w:p>
    <w:p w14:paraId="14AB7E79" w14:textId="77777777" w:rsidR="00081B74" w:rsidRPr="00154045" w:rsidRDefault="00081B74" w:rsidP="00C53895">
      <w:pPr>
        <w:pStyle w:val="Heading2"/>
      </w:pPr>
      <w:r w:rsidRPr="00154045">
        <w:t>Tillgångsallokering</w:t>
      </w:r>
    </w:p>
    <w:p w14:paraId="7D2688F3" w14:textId="175726AB" w:rsidR="00421EC1" w:rsidRPr="00154045" w:rsidRDefault="00421EC1" w:rsidP="007170D9">
      <w:r w:rsidRPr="00154045">
        <w:t>Inom respektive tillgångsslag för investering</w:t>
      </w:r>
      <w:r w:rsidR="007A0A4C">
        <w:t>ar uppgå till max nedanstående procent</w:t>
      </w:r>
      <w:r w:rsidRPr="00154045">
        <w:t xml:space="preserve"> av t</w:t>
      </w:r>
      <w:r w:rsidR="00C86106" w:rsidRPr="00154045">
        <w:t>otala tillgångar vid anskaffnin</w:t>
      </w:r>
      <w:r w:rsidRPr="00154045">
        <w:t>gstillfället.</w:t>
      </w:r>
    </w:p>
    <w:p w14:paraId="28287B4C" w14:textId="25E1D76E" w:rsidR="00081B74" w:rsidRPr="007170D9" w:rsidRDefault="00081B74" w:rsidP="007170D9">
      <w:pPr>
        <w:spacing w:after="120"/>
        <w:contextualSpacing/>
        <w:rPr>
          <w:b/>
        </w:rPr>
      </w:pPr>
      <w:r w:rsidRPr="007170D9">
        <w:rPr>
          <w:b/>
        </w:rPr>
        <w:t>Tillgångsslag</w:t>
      </w:r>
      <w:r w:rsidRPr="007170D9">
        <w:rPr>
          <w:b/>
        </w:rPr>
        <w:tab/>
      </w:r>
      <w:r w:rsidRPr="007170D9">
        <w:rPr>
          <w:b/>
        </w:rPr>
        <w:tab/>
      </w:r>
      <w:r w:rsidR="004664E0" w:rsidRPr="007170D9">
        <w:rPr>
          <w:b/>
        </w:rPr>
        <w:t xml:space="preserve"> </w:t>
      </w:r>
      <w:r w:rsidR="0017628A" w:rsidRPr="007170D9">
        <w:rPr>
          <w:b/>
        </w:rPr>
        <w:tab/>
      </w:r>
      <w:r w:rsidRPr="007170D9">
        <w:rPr>
          <w:b/>
        </w:rPr>
        <w:t>Min</w:t>
      </w:r>
      <w:r w:rsidRPr="007170D9">
        <w:rPr>
          <w:b/>
        </w:rPr>
        <w:tab/>
      </w:r>
      <w:r w:rsidRPr="007170D9">
        <w:rPr>
          <w:b/>
        </w:rPr>
        <w:t>Max</w:t>
      </w:r>
      <w:r w:rsidR="009425E9" w:rsidRPr="007170D9">
        <w:rPr>
          <w:b/>
        </w:rPr>
        <w:tab/>
      </w:r>
    </w:p>
    <w:p w14:paraId="340EE6C1" w14:textId="464272AC" w:rsidR="00081B74" w:rsidRPr="00154045" w:rsidRDefault="009438E4" w:rsidP="007170D9">
      <w:pPr>
        <w:spacing w:after="120"/>
        <w:contextualSpacing/>
      </w:pPr>
      <w:r w:rsidRPr="00154045">
        <w:t>Aktier, direkt</w:t>
      </w:r>
      <w:r w:rsidRPr="00154045">
        <w:tab/>
      </w:r>
      <w:r w:rsidRPr="00154045">
        <w:tab/>
      </w:r>
      <w:r w:rsidRPr="00154045">
        <w:tab/>
      </w:r>
      <w:r w:rsidR="00784D9C" w:rsidRPr="00154045">
        <w:tab/>
      </w:r>
      <w:r w:rsidRPr="00154045">
        <w:t>0</w:t>
      </w:r>
      <w:r w:rsidR="0057415F" w:rsidRPr="00154045">
        <w:t xml:space="preserve"> %</w:t>
      </w:r>
      <w:r w:rsidRPr="00154045">
        <w:tab/>
      </w:r>
      <w:r w:rsidR="009C70B6" w:rsidRPr="00154045">
        <w:t>1</w:t>
      </w:r>
      <w:r w:rsidR="00081B74" w:rsidRPr="00154045">
        <w:t>0 %</w:t>
      </w:r>
      <w:r w:rsidR="009425E9" w:rsidRPr="00154045">
        <w:tab/>
      </w:r>
    </w:p>
    <w:p w14:paraId="3AB75347" w14:textId="77777777" w:rsidR="00081B74" w:rsidRPr="00154045" w:rsidRDefault="009438E4" w:rsidP="007170D9">
      <w:pPr>
        <w:spacing w:after="120"/>
        <w:contextualSpacing/>
      </w:pPr>
      <w:r w:rsidRPr="00154045">
        <w:t>Företagsobligationer</w:t>
      </w:r>
      <w:r w:rsidRPr="00154045">
        <w:tab/>
      </w:r>
      <w:r w:rsidRPr="00154045">
        <w:tab/>
      </w:r>
      <w:r w:rsidR="00784D9C" w:rsidRPr="00154045">
        <w:tab/>
      </w:r>
      <w:r w:rsidRPr="00154045">
        <w:t>0</w:t>
      </w:r>
      <w:r w:rsidR="0057415F" w:rsidRPr="00154045">
        <w:t xml:space="preserve"> %</w:t>
      </w:r>
      <w:r w:rsidRPr="00154045">
        <w:tab/>
      </w:r>
      <w:r w:rsidRPr="00154045">
        <w:t>3</w:t>
      </w:r>
      <w:r w:rsidR="0057415F" w:rsidRPr="00154045">
        <w:t xml:space="preserve">5 </w:t>
      </w:r>
      <w:r w:rsidR="00081B74" w:rsidRPr="00154045">
        <w:t>%</w:t>
      </w:r>
      <w:r w:rsidR="009425E9" w:rsidRPr="00154045">
        <w:tab/>
      </w:r>
    </w:p>
    <w:p w14:paraId="2602AA7A" w14:textId="4E92D7D3" w:rsidR="00081B74" w:rsidRPr="00154045" w:rsidRDefault="00081B74" w:rsidP="007170D9">
      <w:pPr>
        <w:spacing w:after="120"/>
        <w:contextualSpacing/>
      </w:pPr>
      <w:r w:rsidRPr="00154045">
        <w:t>Svenska staten, räntor</w:t>
      </w:r>
      <w:r w:rsidR="00BB1C82">
        <w:t xml:space="preserve"> </w:t>
      </w:r>
      <w:r w:rsidR="00C3157D">
        <w:rPr>
          <w:i/>
          <w:color w:val="C00000"/>
          <w:sz w:val="14"/>
          <w:szCs w:val="14"/>
        </w:rPr>
        <w:tab/>
      </w:r>
      <w:r w:rsidR="00C3157D">
        <w:rPr>
          <w:i/>
          <w:color w:val="C00000"/>
          <w:sz w:val="14"/>
          <w:szCs w:val="14"/>
        </w:rPr>
        <w:tab/>
      </w:r>
      <w:r w:rsidR="00C3157D">
        <w:rPr>
          <w:i/>
          <w:color w:val="C00000"/>
          <w:sz w:val="14"/>
          <w:szCs w:val="14"/>
        </w:rPr>
        <w:tab/>
      </w:r>
      <w:r w:rsidR="0057415F" w:rsidRPr="00154045">
        <w:t xml:space="preserve">0 </w:t>
      </w:r>
      <w:r w:rsidR="00E6421C" w:rsidRPr="00154045">
        <w:t>%</w:t>
      </w:r>
      <w:r w:rsidRPr="00154045">
        <w:tab/>
      </w:r>
      <w:r w:rsidRPr="00154045">
        <w:t>40</w:t>
      </w:r>
      <w:r w:rsidR="0057415F" w:rsidRPr="00154045">
        <w:t xml:space="preserve"> </w:t>
      </w:r>
      <w:r w:rsidRPr="00154045">
        <w:t>%</w:t>
      </w:r>
      <w:r w:rsidR="009425E9" w:rsidRPr="00154045">
        <w:tab/>
      </w:r>
    </w:p>
    <w:p w14:paraId="4F52E26F" w14:textId="77777777" w:rsidR="009425E9" w:rsidRPr="00154045" w:rsidRDefault="00E6421C" w:rsidP="007170D9">
      <w:pPr>
        <w:spacing w:after="120"/>
        <w:contextualSpacing/>
      </w:pPr>
      <w:r w:rsidRPr="00154045">
        <w:t>Hedge</w:t>
      </w:r>
      <w:r w:rsidR="00081B74" w:rsidRPr="00154045">
        <w:t>fond, räntor</w:t>
      </w:r>
      <w:r w:rsidR="00F02E55" w:rsidRPr="00154045">
        <w:tab/>
      </w:r>
      <w:r w:rsidR="00F02E55" w:rsidRPr="00154045">
        <w:tab/>
      </w:r>
      <w:r w:rsidR="00784D9C" w:rsidRPr="00154045">
        <w:tab/>
      </w:r>
      <w:r w:rsidR="0057415F" w:rsidRPr="00154045">
        <w:t>0 %</w:t>
      </w:r>
      <w:r w:rsidR="009425E9" w:rsidRPr="00154045">
        <w:tab/>
      </w:r>
      <w:r w:rsidR="009425E9" w:rsidRPr="00154045">
        <w:t>25</w:t>
      </w:r>
      <w:r w:rsidR="0057415F" w:rsidRPr="00154045">
        <w:t xml:space="preserve"> </w:t>
      </w:r>
      <w:r w:rsidR="009425E9" w:rsidRPr="00154045">
        <w:t>%</w:t>
      </w:r>
      <w:r w:rsidR="009425E9" w:rsidRPr="00154045">
        <w:tab/>
      </w:r>
    </w:p>
    <w:p w14:paraId="39C5AD8B" w14:textId="6A70FFD5" w:rsidR="009425E9" w:rsidRPr="00154045" w:rsidRDefault="00784D9C" w:rsidP="007170D9">
      <w:pPr>
        <w:spacing w:after="120"/>
        <w:contextualSpacing/>
      </w:pPr>
      <w:r w:rsidRPr="00154045">
        <w:t>Räntefonder,</w:t>
      </w:r>
      <w:r w:rsidR="009425E9" w:rsidRPr="00154045">
        <w:t xml:space="preserve"> räntekonton</w:t>
      </w:r>
      <w:r w:rsidR="00C3157D">
        <w:tab/>
      </w:r>
      <w:r w:rsidR="00F02E55" w:rsidRPr="00154045">
        <w:tab/>
      </w:r>
      <w:r w:rsidRPr="00154045">
        <w:tab/>
      </w:r>
      <w:r w:rsidR="0057415F" w:rsidRPr="00154045">
        <w:t xml:space="preserve">0 </w:t>
      </w:r>
      <w:r w:rsidR="00F02E55" w:rsidRPr="00154045">
        <w:t>%</w:t>
      </w:r>
      <w:r w:rsidR="00F02E55" w:rsidRPr="00154045">
        <w:tab/>
      </w:r>
      <w:r w:rsidR="00F02E55" w:rsidRPr="00154045">
        <w:t>60</w:t>
      </w:r>
      <w:r w:rsidR="0057415F" w:rsidRPr="00154045">
        <w:t xml:space="preserve"> </w:t>
      </w:r>
      <w:r w:rsidR="00F02E55" w:rsidRPr="00154045">
        <w:t>%</w:t>
      </w:r>
      <w:r w:rsidR="00F02E55" w:rsidRPr="00154045">
        <w:tab/>
      </w:r>
    </w:p>
    <w:p w14:paraId="6F9F7294" w14:textId="77777777" w:rsidR="009425E9" w:rsidRPr="00154045" w:rsidRDefault="009425E9" w:rsidP="007170D9">
      <w:pPr>
        <w:spacing w:after="120"/>
        <w:contextualSpacing/>
      </w:pPr>
      <w:r w:rsidRPr="00154045">
        <w:t>Hedgefonder</w:t>
      </w:r>
      <w:r w:rsidR="00E6421C" w:rsidRPr="00154045">
        <w:t>, aktieinriktning</w:t>
      </w:r>
      <w:r w:rsidR="00E6421C" w:rsidRPr="00154045">
        <w:tab/>
      </w:r>
      <w:r w:rsidR="00784D9C" w:rsidRPr="00154045">
        <w:tab/>
      </w:r>
      <w:r w:rsidR="009438E4" w:rsidRPr="00154045">
        <w:t>0</w:t>
      </w:r>
      <w:r w:rsidR="0057415F" w:rsidRPr="00154045">
        <w:t xml:space="preserve"> %</w:t>
      </w:r>
      <w:r w:rsidR="009438E4" w:rsidRPr="00154045">
        <w:tab/>
      </w:r>
      <w:r w:rsidR="009438E4" w:rsidRPr="00154045">
        <w:t>2</w:t>
      </w:r>
      <w:r w:rsidR="00F02E55" w:rsidRPr="00154045">
        <w:t>0 %</w:t>
      </w:r>
    </w:p>
    <w:p w14:paraId="52FB83BD" w14:textId="77777777" w:rsidR="009425E9" w:rsidRPr="00154045" w:rsidRDefault="009425E9" w:rsidP="007170D9">
      <w:pPr>
        <w:spacing w:after="120"/>
        <w:contextualSpacing/>
      </w:pPr>
      <w:r w:rsidRPr="00154045">
        <w:t>Aktiefonder</w:t>
      </w:r>
      <w:r w:rsidR="009438E4" w:rsidRPr="00154045">
        <w:tab/>
      </w:r>
      <w:r w:rsidR="009438E4" w:rsidRPr="00154045">
        <w:tab/>
      </w:r>
      <w:r w:rsidR="009438E4" w:rsidRPr="00154045">
        <w:tab/>
      </w:r>
      <w:r w:rsidR="00784D9C" w:rsidRPr="00154045">
        <w:tab/>
      </w:r>
      <w:r w:rsidR="009438E4" w:rsidRPr="00154045">
        <w:t>0</w:t>
      </w:r>
      <w:r w:rsidR="0057415F" w:rsidRPr="00154045">
        <w:t xml:space="preserve"> %</w:t>
      </w:r>
      <w:r w:rsidR="009438E4" w:rsidRPr="00154045">
        <w:tab/>
      </w:r>
      <w:r w:rsidR="009438E4" w:rsidRPr="00154045">
        <w:t>2</w:t>
      </w:r>
      <w:r w:rsidR="00F02E55" w:rsidRPr="00154045">
        <w:t>0 %</w:t>
      </w:r>
    </w:p>
    <w:p w14:paraId="4C7391EF" w14:textId="5250EBAD" w:rsidR="00BF418D" w:rsidRPr="00154045" w:rsidRDefault="00784D9C" w:rsidP="007170D9">
      <w:pPr>
        <w:spacing w:after="120"/>
        <w:contextualSpacing/>
      </w:pPr>
      <w:r w:rsidRPr="00154045">
        <w:t>Lågriskplacering såsom kapitalförsäkring</w:t>
      </w:r>
      <w:r w:rsidRPr="00154045">
        <w:tab/>
      </w:r>
      <w:r w:rsidRPr="00154045">
        <w:t>0</w:t>
      </w:r>
      <w:r w:rsidR="0057415F" w:rsidRPr="00154045">
        <w:t xml:space="preserve"> %</w:t>
      </w:r>
      <w:r w:rsidRPr="00154045">
        <w:tab/>
      </w:r>
      <w:r w:rsidRPr="00154045">
        <w:t>30 %</w:t>
      </w:r>
    </w:p>
    <w:p w14:paraId="2F031124" w14:textId="20FAB951" w:rsidR="007C05AB" w:rsidRPr="00154045" w:rsidRDefault="007C05AB" w:rsidP="00C53895">
      <w:pPr>
        <w:pStyle w:val="Heading2"/>
      </w:pPr>
      <w:r w:rsidRPr="00154045">
        <w:t>Uppföljning och efterlevnad</w:t>
      </w:r>
    </w:p>
    <w:p w14:paraId="660A5722" w14:textId="0DCC3384" w:rsidR="007C05AB" w:rsidRPr="00154045" w:rsidRDefault="00485B1D" w:rsidP="00BB1C82">
      <w:r>
        <w:t>Ge</w:t>
      </w:r>
      <w:r w:rsidR="007170D9">
        <w:t>neralsekreteraren</w:t>
      </w:r>
      <w:r w:rsidR="00ED6125">
        <w:t xml:space="preserve"> </w:t>
      </w:r>
      <w:r w:rsidR="007C05AB" w:rsidRPr="00154045">
        <w:t xml:space="preserve">är ansvarig för att </w:t>
      </w:r>
      <w:r w:rsidR="00D61D65">
        <w:t>kapital</w:t>
      </w:r>
      <w:r w:rsidR="007C05AB" w:rsidRPr="00154045">
        <w:t>placeringspolicyn efterlevs</w:t>
      </w:r>
      <w:r w:rsidR="00ED6125">
        <w:t xml:space="preserve"> och följs upp</w:t>
      </w:r>
      <w:r w:rsidR="007C05AB" w:rsidRPr="00154045">
        <w:t xml:space="preserve">. </w:t>
      </w:r>
      <w:r w:rsidR="00692A83">
        <w:t xml:space="preserve">Palmecentrets </w:t>
      </w:r>
      <w:r w:rsidR="00D61D65">
        <w:t>k</w:t>
      </w:r>
      <w:r w:rsidR="007170D9">
        <w:t>apital</w:t>
      </w:r>
      <w:r w:rsidR="00692A83">
        <w:t>p</w:t>
      </w:r>
      <w:r w:rsidR="00692A83" w:rsidRPr="00154045">
        <w:t>laceringspolicy fastställs årligen</w:t>
      </w:r>
      <w:r w:rsidR="00692A83">
        <w:t xml:space="preserve"> av </w:t>
      </w:r>
      <w:r w:rsidR="00692A83" w:rsidRPr="00154045">
        <w:t>Palmecen</w:t>
      </w:r>
      <w:r w:rsidR="00692A83">
        <w:t>trets styrelse.</w:t>
      </w:r>
    </w:p>
    <w:sectPr w:rsidR="007C05AB" w:rsidRPr="00154045" w:rsidSect="0043179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5" w:right="1417" w:bottom="993" w:left="1417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CD4" w:rsidP="007170D9" w:rsidRDefault="00B87CD4" w14:paraId="691C6B7C" w14:textId="77777777">
      <w:r>
        <w:separator/>
      </w:r>
    </w:p>
  </w:endnote>
  <w:endnote w:type="continuationSeparator" w:id="0">
    <w:p w:rsidR="00B87CD4" w:rsidP="007170D9" w:rsidRDefault="00B87CD4" w14:paraId="792B38E4" w14:textId="77777777">
      <w:r>
        <w:continuationSeparator/>
      </w:r>
    </w:p>
  </w:endnote>
  <w:endnote w:type="continuationNotice" w:id="1">
    <w:p w:rsidR="00B82993" w:rsidRDefault="00B82993" w14:paraId="02D678B1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2717730"/>
      <w:docPartObj>
        <w:docPartGallery w:val="Page Numbers (Bottom of Page)"/>
        <w:docPartUnique/>
      </w:docPartObj>
    </w:sdtPr>
    <w:sdtContent>
      <w:p w14:paraId="149DE0BC" w14:textId="3C6C2069" w:rsidR="000A6277" w:rsidRPr="007170D9" w:rsidRDefault="007170D9" w:rsidP="007170D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72">
          <w:rPr>
            <w:noProof/>
          </w:rPr>
          <w:t>3</w:t>
        </w:r>
        <w:r>
          <w:fldChar w:fldCharType="end"/>
        </w:r>
        <w:r>
          <w:t xml:space="preserve"> </w:t>
        </w:r>
        <w:r w:rsidRPr="00F20C0F">
          <w:t>(</w:t>
        </w:r>
        <w:r w:rsidR="00956923">
          <w:rPr>
            <w:noProof/>
          </w:rPr>
          <w:fldChar w:fldCharType="begin"/>
        </w:r>
        <w:r w:rsidR="00956923">
          <w:rPr>
            <w:noProof/>
          </w:rPr>
          <w:instrText xml:space="preserve"> NUMPAGES   \* MERGEFORMAT </w:instrText>
        </w:r>
        <w:r w:rsidR="00956923">
          <w:rPr>
            <w:noProof/>
          </w:rPr>
          <w:fldChar w:fldCharType="separate"/>
        </w:r>
        <w:r w:rsidR="00CB0B72">
          <w:rPr>
            <w:noProof/>
          </w:rPr>
          <w:t>3</w:t>
        </w:r>
        <w:r w:rsidR="00956923">
          <w:rPr>
            <w:noProof/>
          </w:rPr>
          <w:fldChar w:fldCharType="end"/>
        </w:r>
        <w:r w:rsidRPr="00F20C0F">
          <w:t>)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22392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6A688093" w14:textId="41A9BD1C" w:rsidR="007170D9" w:rsidRPr="007170D9" w:rsidRDefault="007170D9" w:rsidP="007170D9">
        <w:pPr>
          <w:pStyle w:val="Footer"/>
          <w:jc w:val="right"/>
          <w:rPr>
            <w:color w:val="808080" w:themeColor="background1" w:themeShade="80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B72">
          <w:rPr>
            <w:noProof/>
          </w:rPr>
          <w:t>1</w:t>
        </w:r>
        <w:r>
          <w:fldChar w:fldCharType="end"/>
        </w:r>
        <w:r>
          <w:t xml:space="preserve"> </w:t>
        </w:r>
        <w:r w:rsidRPr="00F20C0F">
          <w:rPr>
            <w:color w:val="808080" w:themeColor="background1" w:themeShade="80"/>
          </w:rPr>
          <w:t>(</w:t>
        </w:r>
        <w:r w:rsidRPr="00F20C0F">
          <w:rPr>
            <w:color w:val="808080" w:themeColor="background1" w:themeShade="80"/>
          </w:rPr>
          <w:fldChar w:fldCharType="begin"/>
        </w:r>
        <w:r w:rsidRPr="00F20C0F">
          <w:rPr>
            <w:color w:val="808080" w:themeColor="background1" w:themeShade="80"/>
          </w:rPr>
          <w:instrText xml:space="preserve"> NUMPAGES   \* MERGEFORMAT </w:instrText>
        </w:r>
        <w:r w:rsidRPr="00F20C0F">
          <w:rPr>
            <w:color w:val="808080" w:themeColor="background1" w:themeShade="80"/>
          </w:rPr>
          <w:fldChar w:fldCharType="separate"/>
        </w:r>
        <w:r w:rsidR="00CB0B72">
          <w:rPr>
            <w:noProof/>
            <w:color w:val="808080" w:themeColor="background1" w:themeShade="80"/>
          </w:rPr>
          <w:t>3</w:t>
        </w:r>
        <w:r w:rsidRPr="00F20C0F">
          <w:rPr>
            <w:color w:val="808080" w:themeColor="background1" w:themeShade="80"/>
          </w:rPr>
          <w:fldChar w:fldCharType="end"/>
        </w:r>
        <w:r w:rsidRPr="00F20C0F">
          <w:rPr>
            <w:color w:val="808080" w:themeColor="background1" w:themeShade="80"/>
          </w:rPr>
          <w:t>)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CD4" w:rsidP="007170D9" w:rsidRDefault="00B87CD4" w14:paraId="2430CD58" w14:textId="77777777">
      <w:r>
        <w:separator/>
      </w:r>
    </w:p>
  </w:footnote>
  <w:footnote w:type="continuationSeparator" w:id="0">
    <w:p w:rsidR="00B87CD4" w:rsidP="007170D9" w:rsidRDefault="00B87CD4" w14:paraId="346A9ED7" w14:textId="77777777">
      <w:r>
        <w:continuationSeparator/>
      </w:r>
    </w:p>
  </w:footnote>
  <w:footnote w:type="continuationNotice" w:id="1">
    <w:p w:rsidR="00B82993" w:rsidRDefault="00B82993" w14:paraId="4096EB6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BE32E" w14:textId="20447EC6" w:rsidR="00F727ED" w:rsidRPr="00F727ED" w:rsidRDefault="00F727ED" w:rsidP="00F727ED">
    <w:pPr>
      <w:rPr>
        <w:i/>
        <w:sz w:val="16"/>
        <w:szCs w:val="16"/>
        <w:lang w:val="en-GB"/>
      </w:rPr>
    </w:pPr>
    <w:r w:rsidRPr="005D24B9">
      <w:rPr>
        <w:i/>
        <w:sz w:val="16"/>
        <w:szCs w:val="16"/>
        <w:lang w:val="en-GB"/>
      </w:rPr>
      <w:t xml:space="preserve">Olof </w:t>
    </w:r>
    <w:proofErr w:type="spellStart"/>
    <w:r w:rsidRPr="005D24B9">
      <w:rPr>
        <w:i/>
        <w:sz w:val="16"/>
        <w:szCs w:val="16"/>
        <w:lang w:val="en-GB"/>
      </w:rPr>
      <w:t>Palmes</w:t>
    </w:r>
    <w:proofErr w:type="spellEnd"/>
    <w:r w:rsidRPr="005D24B9">
      <w:rPr>
        <w:i/>
        <w:sz w:val="16"/>
        <w:szCs w:val="16"/>
        <w:lang w:val="en-GB"/>
      </w:rPr>
      <w:t xml:space="preserve"> </w:t>
    </w:r>
    <w:proofErr w:type="spellStart"/>
    <w:r w:rsidRPr="005D24B9">
      <w:rPr>
        <w:i/>
        <w:sz w:val="16"/>
        <w:szCs w:val="16"/>
        <w:lang w:val="en-GB"/>
      </w:rPr>
      <w:t>Internationella</w:t>
    </w:r>
    <w:proofErr w:type="spellEnd"/>
    <w:r w:rsidRPr="005D24B9">
      <w:rPr>
        <w:i/>
        <w:sz w:val="16"/>
        <w:szCs w:val="16"/>
        <w:lang w:val="en-GB"/>
      </w:rPr>
      <w:t xml:space="preserve"> Center – </w:t>
    </w:r>
    <w:proofErr w:type="spellStart"/>
    <w:r>
      <w:rPr>
        <w:i/>
        <w:sz w:val="16"/>
        <w:szCs w:val="16"/>
        <w:lang w:val="en-GB"/>
      </w:rPr>
      <w:t>Kapitalplaceringspolicy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09F05" w14:textId="707B7E3E" w:rsidR="007170D9" w:rsidRDefault="007170D9" w:rsidP="007170D9">
    <w:pPr>
      <w:pStyle w:val="Header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7D414B2E" wp14:editId="4CEE1EDB">
          <wp:simplePos x="0" y="0"/>
          <wp:positionH relativeFrom="margin">
            <wp:posOffset>3805555</wp:posOffset>
          </wp:positionH>
          <wp:positionV relativeFrom="page">
            <wp:posOffset>400050</wp:posOffset>
          </wp:positionV>
          <wp:extent cx="2023110" cy="827405"/>
          <wp:effectExtent l="0" t="0" r="0" b="0"/>
          <wp:wrapNone/>
          <wp:docPr id="14" name="Bild 1" descr="OPC_Logga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C_Logga_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1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346D6B3" w14:textId="77777777" w:rsidR="007170D9" w:rsidRPr="007170D9" w:rsidRDefault="007170D9" w:rsidP="007170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8D254A"/>
    <w:multiLevelType w:val="hybridMultilevel"/>
    <w:tmpl w:val="D37A7570"/>
    <w:lvl w:ilvl="0" w:tplc="5A8635AE">
      <w:start w:val="1"/>
      <w:numFmt w:val="bullet"/>
      <w:lvlText w:val="-"/>
      <w:lvlJc w:val="left"/>
      <w:pPr>
        <w:ind w:left="720" w:hanging="360"/>
      </w:pPr>
      <w:rPr>
        <w:rFonts w:hint="default" w:ascii="Georgia" w:hAnsi="Georgia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85F7E8B"/>
    <w:multiLevelType w:val="hybridMultilevel"/>
    <w:tmpl w:val="D7B4B2DE"/>
    <w:lvl w:ilvl="0" w:tplc="EFD434DA">
      <w:start w:val="1"/>
      <w:numFmt w:val="bullet"/>
      <w:lvlText w:val="-"/>
      <w:lvlJc w:val="left"/>
      <w:pPr>
        <w:ind w:left="1664" w:hanging="360"/>
      </w:pPr>
      <w:rPr>
        <w:rFonts w:hint="default" w:ascii="Georgia" w:hAnsi="Georgia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2" w15:restartNumberingAfterBreak="0">
    <w:nsid w:val="71F50569"/>
    <w:multiLevelType w:val="hybridMultilevel"/>
    <w:tmpl w:val="1132323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CB1"/>
    <w:rsid w:val="00023A4C"/>
    <w:rsid w:val="00055160"/>
    <w:rsid w:val="00074BFB"/>
    <w:rsid w:val="00081B74"/>
    <w:rsid w:val="000A6277"/>
    <w:rsid w:val="0013627F"/>
    <w:rsid w:val="00154045"/>
    <w:rsid w:val="0017628A"/>
    <w:rsid w:val="001A4D0D"/>
    <w:rsid w:val="00250732"/>
    <w:rsid w:val="002D0BB4"/>
    <w:rsid w:val="002F2040"/>
    <w:rsid w:val="003B095B"/>
    <w:rsid w:val="003C24D4"/>
    <w:rsid w:val="003E4B56"/>
    <w:rsid w:val="00421EC1"/>
    <w:rsid w:val="00431796"/>
    <w:rsid w:val="004664E0"/>
    <w:rsid w:val="00471405"/>
    <w:rsid w:val="00485B1D"/>
    <w:rsid w:val="00486C7B"/>
    <w:rsid w:val="00490F2D"/>
    <w:rsid w:val="0057415F"/>
    <w:rsid w:val="005F22C8"/>
    <w:rsid w:val="006361A0"/>
    <w:rsid w:val="00643389"/>
    <w:rsid w:val="006559AF"/>
    <w:rsid w:val="006733DD"/>
    <w:rsid w:val="00692A83"/>
    <w:rsid w:val="007170D9"/>
    <w:rsid w:val="00743566"/>
    <w:rsid w:val="00762910"/>
    <w:rsid w:val="00784D9C"/>
    <w:rsid w:val="00794C8B"/>
    <w:rsid w:val="007A0A4C"/>
    <w:rsid w:val="007B2EEA"/>
    <w:rsid w:val="007C05AB"/>
    <w:rsid w:val="00877FA7"/>
    <w:rsid w:val="008940D7"/>
    <w:rsid w:val="008E6837"/>
    <w:rsid w:val="00941024"/>
    <w:rsid w:val="009425E9"/>
    <w:rsid w:val="00942D0D"/>
    <w:rsid w:val="009438E4"/>
    <w:rsid w:val="00956923"/>
    <w:rsid w:val="009675CA"/>
    <w:rsid w:val="009B33B1"/>
    <w:rsid w:val="009C4846"/>
    <w:rsid w:val="009C70B6"/>
    <w:rsid w:val="009D148A"/>
    <w:rsid w:val="009D6B7C"/>
    <w:rsid w:val="00A32501"/>
    <w:rsid w:val="00B01B9E"/>
    <w:rsid w:val="00B664DF"/>
    <w:rsid w:val="00B82993"/>
    <w:rsid w:val="00B87CD4"/>
    <w:rsid w:val="00B92356"/>
    <w:rsid w:val="00BB1C82"/>
    <w:rsid w:val="00BF418D"/>
    <w:rsid w:val="00BF6E2C"/>
    <w:rsid w:val="00C3157D"/>
    <w:rsid w:val="00C53895"/>
    <w:rsid w:val="00C86106"/>
    <w:rsid w:val="00CB0B72"/>
    <w:rsid w:val="00CE6905"/>
    <w:rsid w:val="00CF4D21"/>
    <w:rsid w:val="00D61D65"/>
    <w:rsid w:val="00D96782"/>
    <w:rsid w:val="00DC1393"/>
    <w:rsid w:val="00E17F3B"/>
    <w:rsid w:val="00E34A27"/>
    <w:rsid w:val="00E6421C"/>
    <w:rsid w:val="00E709A7"/>
    <w:rsid w:val="00EA04E7"/>
    <w:rsid w:val="00EA784B"/>
    <w:rsid w:val="00EB7C20"/>
    <w:rsid w:val="00ED6125"/>
    <w:rsid w:val="00F02E55"/>
    <w:rsid w:val="00F147F2"/>
    <w:rsid w:val="00F17DC3"/>
    <w:rsid w:val="00F24D0C"/>
    <w:rsid w:val="00F404D5"/>
    <w:rsid w:val="00F45CB1"/>
    <w:rsid w:val="00F727ED"/>
    <w:rsid w:val="00FD1469"/>
    <w:rsid w:val="25F0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E733FC"/>
  <w15:chartTrackingRefBased/>
  <w15:docId w15:val="{DAF8E665-C978-42E4-923D-00F4835F7B9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Georgia" w:hAnsi="Georgia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170D9"/>
    <w:pPr>
      <w:spacing w:after="200" w:line="290" w:lineRule="atLeast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7170D9"/>
    <w:pPr>
      <w:keepNext/>
      <w:keepLines/>
      <w:spacing w:after="160" w:line="276" w:lineRule="auto"/>
      <w:outlineLvl w:val="0"/>
    </w:pPr>
    <w:rPr>
      <w:rFonts w:ascii="Trebuchet MS" w:hAnsi="Trebuchet MS" w:eastAsiaTheme="majorEastAsia" w:cstheme="majorBidi"/>
      <w:b/>
      <w:caps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3895"/>
    <w:pPr>
      <w:keepNext/>
      <w:keepLines/>
      <w:spacing w:before="360" w:after="80" w:line="276" w:lineRule="auto"/>
      <w:outlineLvl w:val="1"/>
    </w:pPr>
    <w:rPr>
      <w:rFonts w:ascii="Trebuchet MS" w:hAnsi="Trebuchet MS" w:eastAsiaTheme="majorEastAsia" w:cstheme="majorBidi"/>
      <w:caps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27F"/>
    <w:pPr>
      <w:keepNext/>
      <w:keepLines/>
      <w:spacing w:before="200" w:after="0"/>
      <w:outlineLvl w:val="2"/>
    </w:pPr>
    <w:rPr>
      <w:rFonts w:ascii="Trebuchet MS" w:hAnsi="Trebuchet MS" w:eastAsiaTheme="majorEastAsia" w:cstheme="majorBidi"/>
      <w:color w:val="000000" w:themeColor="tex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27F"/>
    <w:pPr>
      <w:keepNext/>
      <w:keepLines/>
      <w:spacing w:before="200" w:after="0"/>
      <w:outlineLvl w:val="3"/>
    </w:pPr>
    <w:rPr>
      <w:rFonts w:eastAsiaTheme="majorEastAsia" w:cstheme="majorBidi"/>
      <w:b/>
      <w:iCs/>
      <w:cap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27F"/>
    <w:pPr>
      <w:keepNext/>
      <w:keepLines/>
      <w:spacing w:before="200" w:after="0"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627F"/>
    <w:pPr>
      <w:keepNext/>
      <w:keepLines/>
      <w:spacing w:before="40" w:after="0"/>
      <w:outlineLvl w:val="5"/>
    </w:pPr>
    <w:rPr>
      <w:rFonts w:eastAsiaTheme="majorEastAsia" w:cstheme="majorBidi"/>
      <w:color w:val="000000" w:themeColor="tex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490F2D"/>
    <w:pPr>
      <w:spacing w:after="0" w:line="240" w:lineRule="auto"/>
    </w:pPr>
  </w:style>
  <w:style w:type="character" w:styleId="Heading1Char" w:customStyle="1">
    <w:name w:val="Heading 1 Char"/>
    <w:basedOn w:val="DefaultParagraphFont"/>
    <w:link w:val="Heading1"/>
    <w:uiPriority w:val="9"/>
    <w:rsid w:val="007170D9"/>
    <w:rPr>
      <w:rFonts w:ascii="Trebuchet MS" w:hAnsi="Trebuchet MS" w:eastAsiaTheme="majorEastAsia" w:cstheme="majorBidi"/>
      <w:b/>
      <w:caps/>
      <w:color w:val="000000" w:themeColor="text1"/>
      <w:sz w:val="44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C53895"/>
    <w:rPr>
      <w:rFonts w:ascii="Trebuchet MS" w:hAnsi="Trebuchet MS" w:eastAsiaTheme="majorEastAsia" w:cstheme="majorBidi"/>
      <w:caps/>
      <w:color w:val="000000" w:themeColor="text1"/>
      <w:sz w:val="32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13627F"/>
    <w:rPr>
      <w:rFonts w:ascii="Trebuchet MS" w:hAnsi="Trebuchet MS" w:eastAsiaTheme="majorEastAsia" w:cstheme="majorBidi"/>
      <w:color w:val="000000" w:themeColor="text1"/>
      <w:sz w:val="28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13627F"/>
    <w:rPr>
      <w:rFonts w:eastAsiaTheme="majorEastAsia" w:cstheme="majorBidi"/>
      <w:b/>
      <w:iCs/>
      <w:caps/>
      <w:color w:val="000000" w:themeColor="text1"/>
    </w:rPr>
  </w:style>
  <w:style w:type="character" w:styleId="Heading5Char" w:customStyle="1">
    <w:name w:val="Heading 5 Char"/>
    <w:basedOn w:val="DefaultParagraphFont"/>
    <w:link w:val="Heading5"/>
    <w:uiPriority w:val="9"/>
    <w:rsid w:val="0013627F"/>
    <w:rPr>
      <w:rFonts w:eastAsiaTheme="majorEastAsia" w:cstheme="majorBidi"/>
      <w:b/>
      <w:color w:val="000000" w:themeColor="text1"/>
    </w:rPr>
  </w:style>
  <w:style w:type="character" w:styleId="Heading6Char" w:customStyle="1">
    <w:name w:val="Heading 6 Char"/>
    <w:basedOn w:val="DefaultParagraphFont"/>
    <w:link w:val="Heading6"/>
    <w:uiPriority w:val="9"/>
    <w:semiHidden/>
    <w:rsid w:val="0013627F"/>
    <w:rPr>
      <w:rFonts w:eastAsiaTheme="majorEastAsia" w:cstheme="majorBidi"/>
      <w:color w:val="000000" w:themeColor="text1"/>
    </w:rPr>
  </w:style>
  <w:style w:type="paragraph" w:styleId="Title">
    <w:name w:val="Title"/>
    <w:aliases w:val="Huvudrubrik"/>
    <w:basedOn w:val="Normal"/>
    <w:next w:val="Normal"/>
    <w:link w:val="TitleChar"/>
    <w:uiPriority w:val="10"/>
    <w:qFormat/>
    <w:rsid w:val="00DC1393"/>
    <w:pPr>
      <w:spacing w:after="300"/>
      <w:contextualSpacing/>
    </w:pPr>
    <w:rPr>
      <w:rFonts w:ascii="Trebuchet MS" w:hAnsi="Trebuchet MS" w:eastAsiaTheme="majorEastAsia" w:cstheme="majorBidi"/>
      <w:caps/>
      <w:spacing w:val="-10"/>
      <w:kern w:val="28"/>
      <w:sz w:val="32"/>
      <w:szCs w:val="56"/>
    </w:rPr>
  </w:style>
  <w:style w:type="character" w:styleId="TitleChar" w:customStyle="1">
    <w:name w:val="Title Char"/>
    <w:aliases w:val="Huvudrubrik Char"/>
    <w:basedOn w:val="DefaultParagraphFont"/>
    <w:link w:val="Title"/>
    <w:uiPriority w:val="10"/>
    <w:rsid w:val="00DC1393"/>
    <w:rPr>
      <w:rFonts w:ascii="Trebuchet MS" w:hAnsi="Trebuchet MS" w:eastAsiaTheme="majorEastAsia" w:cstheme="majorBidi"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393"/>
    <w:pPr>
      <w:numPr>
        <w:ilvl w:val="1"/>
      </w:numPr>
    </w:pPr>
    <w:rPr>
      <w:rFonts w:eastAsiaTheme="minorEastAsia"/>
      <w:b/>
      <w:color w:val="000000" w:themeColor="text1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DC1393"/>
    <w:rPr>
      <w:rFonts w:eastAsiaTheme="minorEastAsia"/>
      <w:b/>
      <w:color w:val="000000" w:themeColor="text1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DC1393"/>
    <w:pPr>
      <w:ind w:left="862" w:right="862"/>
    </w:pPr>
    <w:rPr>
      <w:i/>
      <w:iCs/>
      <w:color w:val="404040" w:themeColor="text1" w:themeTint="BF"/>
    </w:rPr>
  </w:style>
  <w:style w:type="character" w:styleId="QuoteChar" w:customStyle="1">
    <w:name w:val="Quote Char"/>
    <w:basedOn w:val="DefaultParagraphFont"/>
    <w:link w:val="Quote"/>
    <w:uiPriority w:val="29"/>
    <w:rsid w:val="00DC139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rsid w:val="003B09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B7C"/>
    <w:pPr>
      <w:spacing w:after="0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D6B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15F"/>
    <w:pPr>
      <w:tabs>
        <w:tab w:val="center" w:pos="4536"/>
        <w:tab w:val="right" w:pos="9072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57415F"/>
  </w:style>
  <w:style w:type="paragraph" w:styleId="Footer">
    <w:name w:val="footer"/>
    <w:basedOn w:val="Normal"/>
    <w:link w:val="FooterChar"/>
    <w:uiPriority w:val="99"/>
    <w:unhideWhenUsed/>
    <w:rsid w:val="0057415F"/>
    <w:pPr>
      <w:tabs>
        <w:tab w:val="center" w:pos="4536"/>
        <w:tab w:val="right" w:pos="9072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574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98af8d-ec2e-4d25-8fc2-72d1b8e66407">AKUPAK2CN5NN-39-768</_dlc_DocId>
    <_dlc_DocIdUrl xmlns="0b98af8d-ec2e-4d25-8fc2-72d1b8e66407">
      <Url>https://opc.sharepoint.com/OPCorganisation/_layouts/15/DocIdRedir.aspx?ID=AKUPAK2CN5NN-39-768</Url>
      <Description>AKUPAK2CN5NN-39-768</Description>
    </_dlc_DocIdUrl>
    <_dlc_DocIdPersistId xmlns="0b98af8d-ec2e-4d25-8fc2-72d1b8e66407">false</_dlc_DocIdPersistId>
    <IconOverlay xmlns="http://schemas.microsoft.com/sharepoint/v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1CC8359ABA044D8379F20712BE7457" ma:contentTypeVersion="3" ma:contentTypeDescription="Skapa ett nytt dokument." ma:contentTypeScope="" ma:versionID="7a810bb8cc846026941540acbc9ce03a">
  <xsd:schema xmlns:xsd="http://www.w3.org/2001/XMLSchema" xmlns:xs="http://www.w3.org/2001/XMLSchema" xmlns:p="http://schemas.microsoft.com/office/2006/metadata/properties" xmlns:ns2="0b98af8d-ec2e-4d25-8fc2-72d1b8e66407" xmlns:ns3="37fd39e5-6ff7-4556-908f-8672bb9ae201" xmlns:ns4="http://schemas.microsoft.com/sharepoint/v4" targetNamespace="http://schemas.microsoft.com/office/2006/metadata/properties" ma:root="true" ma:fieldsID="1f6ccd520110ba6d59d6d7e14c11157f" ns2:_="" ns3:_="" ns4:_="">
    <xsd:import namespace="0b98af8d-ec2e-4d25-8fc2-72d1b8e66407"/>
    <xsd:import namespace="37fd39e5-6ff7-4556-908f-8672bb9ae20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8af8d-ec2e-4d25-8fc2-72d1b8e664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d39e5-6ff7-4556-908f-8672bb9ae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34D30D-5AF7-4D3C-8E1D-E6E163DA98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435A9C-BDCA-422D-BE76-98696AD1971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AD27E6-E5CC-4DF4-BCC2-5F9040C5DE1E}">
  <ds:schemaRefs>
    <ds:schemaRef ds:uri="0b98af8d-ec2e-4d25-8fc2-72d1b8e66407"/>
    <ds:schemaRef ds:uri="http://purl.org/dc/elements/1.1/"/>
    <ds:schemaRef ds:uri="http://purl.org/dc/terms/"/>
    <ds:schemaRef ds:uri="37fd39e5-6ff7-4556-908f-8672bb9ae201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68322E7-D4F2-4AF0-AB34-2C10C70711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8af8d-ec2e-4d25-8fc2-72d1b8e66407"/>
    <ds:schemaRef ds:uri="37fd39e5-6ff7-4556-908f-8672bb9ae20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696</Words>
  <Characters>3969</Characters>
  <Application>Microsoft Office Word</Application>
  <DocSecurity>4</DocSecurity>
  <Lines>33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Palmecentrets kapitalplaceringspolicy, Dokumentansvarig: Insamlingsansvarig</vt:lpstr>
    </vt:vector>
  </TitlesOfParts>
  <Company>Microsoft</Company>
  <LinksUpToDate>false</LinksUpToDate>
  <CharactersWithSpaces>4656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Palmecentrets kapitalplaceringspolicy, Dokumentansvarig: Insamlingsansvarig</dc:title>
  <dc:subject/>
  <dc:creator>Lars Löfgren</dc:creator>
  <cp:keywords/>
  <dc:description/>
  <cp:lastModifiedBy>Daniel Karlsson</cp:lastModifiedBy>
  <cp:revision>44</cp:revision>
  <cp:lastPrinted>2018-02-22T22:30:00Z</cp:lastPrinted>
  <dcterms:created xsi:type="dcterms:W3CDTF">2015-01-22T13:23:00Z</dcterms:created>
  <dcterms:modified xsi:type="dcterms:W3CDTF">2019-02-12T10:11:00Z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0x0101008E1CC8359ABA044D8379F20712BE7457</vt:lpwstr>
  </property>
  <property fmtid="{D5CDD505-2E9C-101B-9397-08002B2CF9AE}" pid="3" name="_dlc_DocIdItemGuid">
    <vt:lpwstr>99266feb-a8ef-4efc-bd52-a2150fb1042f</vt:lpwstr>
  </property>
  <property fmtid="{D5CDD505-2E9C-101B-9397-08002B2CF9AE}" pid="4" name="Tagg">
    <vt:lpwstr>145;#OPC Policies|50849e72-4a64-4438-b07a-f8784e3a3f1f</vt:lpwstr>
  </property>
  <property fmtid="{D5CDD505-2E9C-101B-9397-08002B2CF9AE}" pid="5" name="ce7c80cc4e57432aa59879001948b9d1">
    <vt:lpwstr>OPC Policies|50849e72-4a64-4438-b07a-f8784e3a3f1f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haredWithUsers">
    <vt:lpwstr>44;#Magdalena Agrell;#55;#Jens Orback</vt:lpwstr>
  </property>
  <property fmtid="{D5CDD505-2E9C-101B-9397-08002B2CF9AE}" pid="9" name="TaxCatchAll">
    <vt:lpwstr>145;#</vt:lpwstr>
  </property>
  <property fmtid="{D5CDD505-2E9C-101B-9397-08002B2CF9AE}" pid="10" name="TemplateUrl">
    <vt:lpwstr/>
  </property>
  <property fmtid="{D5CDD505-2E9C-101B-9397-08002B2CF9AE}" pid="11" name="ComplianceAssetId">
    <vt:lpwstr/>
  </property>
</Properties>
</file>